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792D" w:rsidRDefault="00D75558">
      <w:pPr>
        <w:pStyle w:val="normal"/>
        <w:spacing w:before="48"/>
        <w:ind w:left="119" w:right="120"/>
        <w:jc w:val="center"/>
      </w:pPr>
      <w:r>
        <w:rPr>
          <w:b/>
          <w:sz w:val="24"/>
          <w:szCs w:val="24"/>
        </w:rPr>
        <w:t>Порядок проведения, методика и система оценивания (проверки) муниципального этапа Всероссийской олимпиады школьников</w:t>
      </w:r>
    </w:p>
    <w:p w:rsidR="005D792D" w:rsidRDefault="00D75558">
      <w:pPr>
        <w:pStyle w:val="normal"/>
        <w:spacing w:before="3"/>
        <w:ind w:left="119" w:right="120"/>
        <w:jc w:val="center"/>
      </w:pPr>
      <w:r>
        <w:rPr>
          <w:b/>
          <w:sz w:val="24"/>
          <w:szCs w:val="24"/>
        </w:rPr>
        <w:t>по  математике  4-11 классов 2016–2017  учебного года</w:t>
      </w:r>
    </w:p>
    <w:p w:rsidR="005D792D" w:rsidRDefault="005D792D">
      <w:pPr>
        <w:pStyle w:val="normal"/>
        <w:spacing w:before="9"/>
      </w:pPr>
    </w:p>
    <w:p w:rsidR="005D792D" w:rsidRDefault="00D75558">
      <w:pPr>
        <w:pStyle w:val="normal"/>
        <w:ind w:left="119" w:right="120" w:firstLine="478"/>
        <w:jc w:val="both"/>
      </w:pPr>
      <w:r>
        <w:rPr>
          <w:sz w:val="24"/>
          <w:szCs w:val="24"/>
        </w:rPr>
        <w:t xml:space="preserve">Олимпиада проводится </w:t>
      </w:r>
      <w:r>
        <w:rPr>
          <w:b/>
          <w:sz w:val="24"/>
          <w:szCs w:val="24"/>
        </w:rPr>
        <w:t xml:space="preserve">15 ноября </w:t>
      </w:r>
      <w:r>
        <w:rPr>
          <w:sz w:val="24"/>
          <w:szCs w:val="24"/>
        </w:rPr>
        <w:t xml:space="preserve">2016 года. </w:t>
      </w:r>
    </w:p>
    <w:p w:rsidR="005D792D" w:rsidRDefault="00D75558">
      <w:pPr>
        <w:pStyle w:val="3"/>
        <w:spacing w:before="105"/>
        <w:ind w:left="597" w:right="50"/>
      </w:pPr>
      <w:r>
        <w:t>Начало олимпиады — 09.30 по московскому времени.</w:t>
      </w:r>
    </w:p>
    <w:p w:rsidR="005D792D" w:rsidRDefault="00D75558">
      <w:pPr>
        <w:pStyle w:val="3"/>
        <w:spacing w:before="105"/>
        <w:ind w:left="597" w:right="50"/>
      </w:pPr>
      <w:r>
        <w:t xml:space="preserve">Для 4-5 классов </w:t>
      </w:r>
    </w:p>
    <w:p w:rsidR="005D792D" w:rsidRDefault="00D75558">
      <w:pPr>
        <w:pStyle w:val="normal"/>
        <w:ind w:left="119" w:right="120" w:firstLine="478"/>
        <w:jc w:val="both"/>
      </w:pPr>
      <w:r>
        <w:rPr>
          <w:sz w:val="24"/>
          <w:szCs w:val="24"/>
        </w:rPr>
        <w:t xml:space="preserve">Задания содержат по 20 задач для каждого класса. </w:t>
      </w:r>
      <w:r>
        <w:rPr>
          <w:sz w:val="24"/>
          <w:szCs w:val="24"/>
        </w:rPr>
        <w:t xml:space="preserve">Участники записывают только ответы к задачам. Решения записывать не нужно. </w:t>
      </w:r>
      <w:r>
        <w:rPr>
          <w:sz w:val="24"/>
          <w:szCs w:val="24"/>
        </w:rPr>
        <w:t xml:space="preserve">Ответы к </w:t>
      </w:r>
      <w:r>
        <w:rPr>
          <w:b/>
          <w:sz w:val="24"/>
          <w:szCs w:val="24"/>
        </w:rPr>
        <w:t>каждой</w:t>
      </w:r>
      <w:r>
        <w:rPr>
          <w:sz w:val="24"/>
          <w:szCs w:val="24"/>
        </w:rPr>
        <w:t xml:space="preserve"> задаче оцениваются целым числом баллов от 0 до 5. </w:t>
      </w:r>
      <w:r>
        <w:rPr>
          <w:sz w:val="24"/>
          <w:szCs w:val="24"/>
        </w:rPr>
        <w:t xml:space="preserve">Максимальное количество  баллов,  которое  может  получить  участник,  равно 100. Олимпиада длится </w:t>
      </w:r>
      <w:r>
        <w:rPr>
          <w:b/>
          <w:sz w:val="24"/>
          <w:szCs w:val="24"/>
        </w:rPr>
        <w:t>150 минут</w:t>
      </w:r>
      <w:r>
        <w:rPr>
          <w:sz w:val="24"/>
          <w:szCs w:val="24"/>
        </w:rPr>
        <w:t>.</w:t>
      </w:r>
    </w:p>
    <w:p w:rsidR="005D792D" w:rsidRDefault="00D75558">
      <w:pPr>
        <w:pStyle w:val="3"/>
        <w:spacing w:before="105"/>
        <w:ind w:left="597" w:right="50"/>
      </w:pPr>
      <w:r>
        <w:t xml:space="preserve">Для 6-7 классов </w:t>
      </w:r>
    </w:p>
    <w:p w:rsidR="005D792D" w:rsidRDefault="00D75558">
      <w:pPr>
        <w:pStyle w:val="normal"/>
        <w:ind w:left="119" w:right="120" w:firstLine="478"/>
        <w:jc w:val="both"/>
      </w:pPr>
      <w:bookmarkStart w:id="0" w:name="_gjdgxs" w:colFirst="0" w:colLast="0"/>
      <w:bookmarkEnd w:id="0"/>
      <w:r>
        <w:rPr>
          <w:sz w:val="24"/>
          <w:szCs w:val="24"/>
        </w:rPr>
        <w:t xml:space="preserve">Задания содержат по 20 задач для каждого класса. </w:t>
      </w:r>
      <w:r>
        <w:rPr>
          <w:sz w:val="24"/>
          <w:szCs w:val="24"/>
        </w:rPr>
        <w:t xml:space="preserve">Участники записывают только ответы к задачам. Решения записывать не нужно. </w:t>
      </w:r>
      <w:r>
        <w:rPr>
          <w:sz w:val="24"/>
          <w:szCs w:val="24"/>
        </w:rPr>
        <w:t>Ответ</w:t>
      </w:r>
      <w:r>
        <w:rPr>
          <w:sz w:val="24"/>
          <w:szCs w:val="24"/>
        </w:rPr>
        <w:t xml:space="preserve">ы к </w:t>
      </w:r>
      <w:r>
        <w:rPr>
          <w:b/>
          <w:sz w:val="24"/>
          <w:szCs w:val="24"/>
        </w:rPr>
        <w:t>каждой</w:t>
      </w:r>
      <w:r>
        <w:rPr>
          <w:sz w:val="24"/>
          <w:szCs w:val="24"/>
        </w:rPr>
        <w:t xml:space="preserve"> задаче оцениваются целым числом баллов от 0 до 5. Максимальное количество  баллов,  которое  может  получить  участник,  равно 100. Олимпиада длится </w:t>
      </w:r>
      <w:r>
        <w:rPr>
          <w:b/>
          <w:sz w:val="24"/>
          <w:szCs w:val="24"/>
        </w:rPr>
        <w:t>180 минут</w:t>
      </w:r>
      <w:r>
        <w:rPr>
          <w:sz w:val="24"/>
          <w:szCs w:val="24"/>
        </w:rPr>
        <w:t>.</w:t>
      </w:r>
    </w:p>
    <w:p w:rsidR="005D792D" w:rsidRDefault="00D75558">
      <w:pPr>
        <w:pStyle w:val="3"/>
        <w:spacing w:before="105"/>
        <w:ind w:left="597" w:right="50"/>
      </w:pPr>
      <w:r>
        <w:t xml:space="preserve">Для 8-11 классов </w:t>
      </w:r>
    </w:p>
    <w:p w:rsidR="005D792D" w:rsidRDefault="00D75558">
      <w:pPr>
        <w:pStyle w:val="normal"/>
        <w:ind w:left="119" w:right="120" w:firstLine="478"/>
        <w:jc w:val="both"/>
      </w:pPr>
      <w:r>
        <w:rPr>
          <w:sz w:val="24"/>
          <w:szCs w:val="24"/>
        </w:rPr>
        <w:t xml:space="preserve">Задания содержат по 5 задач для каждого класса. </w:t>
      </w:r>
      <w:r>
        <w:rPr>
          <w:sz w:val="24"/>
          <w:szCs w:val="24"/>
        </w:rPr>
        <w:t>В каждом задании не</w:t>
      </w:r>
      <w:r>
        <w:rPr>
          <w:sz w:val="24"/>
          <w:szCs w:val="24"/>
        </w:rPr>
        <w:t xml:space="preserve">обходимо записать не только ответ, но и полное решение. Только ответы без обоснования оцениваются намного ниже. </w:t>
      </w:r>
      <w:r>
        <w:rPr>
          <w:sz w:val="24"/>
          <w:szCs w:val="24"/>
        </w:rPr>
        <w:t>Решение каждой задачи оценивается целым числом баллов от 0 до 7. Максимальное количество  баллов,  которое  может  получить  участник,  равно 35</w:t>
      </w:r>
      <w:r>
        <w:rPr>
          <w:sz w:val="24"/>
          <w:szCs w:val="24"/>
        </w:rPr>
        <w:t xml:space="preserve">. Олимпиада длится </w:t>
      </w:r>
      <w:r>
        <w:rPr>
          <w:b/>
          <w:sz w:val="24"/>
          <w:szCs w:val="24"/>
        </w:rPr>
        <w:t>240 минут</w:t>
      </w:r>
      <w:r>
        <w:rPr>
          <w:sz w:val="24"/>
          <w:szCs w:val="24"/>
        </w:rPr>
        <w:t>.</w:t>
      </w:r>
    </w:p>
    <w:p w:rsidR="005D792D" w:rsidRDefault="005D792D">
      <w:pPr>
        <w:pStyle w:val="normal"/>
        <w:ind w:left="119" w:right="120" w:firstLine="478"/>
        <w:jc w:val="both"/>
      </w:pPr>
    </w:p>
    <w:p w:rsidR="005D792D" w:rsidRDefault="00D75558">
      <w:pPr>
        <w:pStyle w:val="normal"/>
        <w:widowControl/>
        <w:ind w:firstLine="567"/>
        <w:jc w:val="both"/>
      </w:pPr>
      <w:r>
        <w:rPr>
          <w:sz w:val="24"/>
          <w:szCs w:val="24"/>
        </w:rPr>
        <w:t>Участникам во время проведения олимпиады 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:rsidR="005D792D" w:rsidRDefault="00D75558">
      <w:pPr>
        <w:pStyle w:val="normal"/>
        <w:widowControl/>
        <w:ind w:firstLine="567"/>
        <w:jc w:val="both"/>
      </w:pPr>
      <w:r>
        <w:rPr>
          <w:sz w:val="24"/>
          <w:szCs w:val="24"/>
        </w:rPr>
        <w:t>Время начала олимпиады в разны</w:t>
      </w:r>
      <w:r>
        <w:rPr>
          <w:sz w:val="24"/>
          <w:szCs w:val="24"/>
        </w:rPr>
        <w:t>х кабинетах может отличаться. Важно, чтобы школьникам на написание работы было выделено ровно столько минут, сколько положено для их класса (с момента получения заданий). Рекомендуем написать на доске время начала олимпиады и время окончания. Например, нач</w:t>
      </w:r>
      <w:r>
        <w:rPr>
          <w:sz w:val="24"/>
          <w:szCs w:val="24"/>
        </w:rPr>
        <w:t>ало – 9:36, окончание – 13:36. Досрочная сдача работы разрешается.</w:t>
      </w:r>
    </w:p>
    <w:p w:rsidR="005D792D" w:rsidRDefault="005D792D">
      <w:pPr>
        <w:pStyle w:val="normal"/>
        <w:widowControl/>
        <w:ind w:firstLine="567"/>
        <w:jc w:val="both"/>
      </w:pPr>
    </w:p>
    <w:p w:rsidR="005D792D" w:rsidRDefault="00D75558">
      <w:pPr>
        <w:pStyle w:val="normal"/>
        <w:widowControl/>
        <w:ind w:firstLine="567"/>
        <w:jc w:val="both"/>
      </w:pPr>
      <w:r>
        <w:rPr>
          <w:sz w:val="24"/>
          <w:szCs w:val="24"/>
        </w:rPr>
        <w:t>8-11 класс. Для выполнения заданий олимпиады каждому участнику требуется тетрадь в клетку в силу того, что на математических олимпиадах предлагаются задачи на разрезание фигур, задачи на к</w:t>
      </w:r>
      <w:r>
        <w:rPr>
          <w:sz w:val="24"/>
          <w:szCs w:val="24"/>
        </w:rPr>
        <w:t>летчатых досках, задачи, требующие построения рисунков и графиков. Рекомендуется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</w:t>
      </w:r>
      <w:r>
        <w:rPr>
          <w:sz w:val="24"/>
          <w:szCs w:val="24"/>
        </w:rPr>
        <w:t xml:space="preserve">. Запрещено использование для записи решений ручек с красными или зелеными чернилами. </w:t>
      </w:r>
    </w:p>
    <w:p w:rsidR="005D792D" w:rsidRDefault="00D75558">
      <w:pPr>
        <w:pStyle w:val="normal"/>
        <w:widowControl/>
        <w:ind w:firstLine="567"/>
        <w:jc w:val="both"/>
      </w:pPr>
      <w:r>
        <w:rPr>
          <w:sz w:val="24"/>
          <w:szCs w:val="24"/>
        </w:rPr>
        <w:t xml:space="preserve"> </w:t>
      </w:r>
    </w:p>
    <w:p w:rsidR="005D792D" w:rsidRDefault="00D75558">
      <w:pPr>
        <w:pStyle w:val="normal"/>
      </w:pPr>
      <w:r>
        <w:br w:type="page"/>
      </w:r>
    </w:p>
    <w:p w:rsidR="005D792D" w:rsidRDefault="005D792D">
      <w:pPr>
        <w:pStyle w:val="normal"/>
      </w:pPr>
    </w:p>
    <w:p w:rsidR="005D792D" w:rsidRDefault="00D75558">
      <w:pPr>
        <w:pStyle w:val="normal"/>
        <w:ind w:left="119" w:right="120" w:firstLine="478"/>
        <w:jc w:val="both"/>
      </w:pPr>
      <w:r>
        <w:rPr>
          <w:b/>
          <w:sz w:val="24"/>
          <w:szCs w:val="24"/>
        </w:rPr>
        <w:t>Методика оценивания выполнения олимпиадных заданий (8-11 класс)</w:t>
      </w:r>
    </w:p>
    <w:p w:rsidR="005D792D" w:rsidRDefault="005D792D">
      <w:pPr>
        <w:pStyle w:val="normal"/>
        <w:ind w:left="119" w:right="120" w:firstLine="478"/>
        <w:jc w:val="both"/>
      </w:pPr>
    </w:p>
    <w:p w:rsidR="005D792D" w:rsidRDefault="00D75558">
      <w:pPr>
        <w:pStyle w:val="normal"/>
        <w:ind w:left="119" w:right="120" w:firstLine="478"/>
        <w:jc w:val="both"/>
      </w:pPr>
      <w:r>
        <w:rPr>
          <w:sz w:val="24"/>
          <w:szCs w:val="24"/>
        </w:rPr>
        <w:t>Во время проверки работ муниципального этапа районные комиссии могут задавать вопросы по критериям оценивания и спорным случаям членам республиканской предметно-методической комиссии по математике. Вопросы можно задавать по электронной почте: kazan-mat@mai</w:t>
      </w:r>
      <w:r>
        <w:rPr>
          <w:sz w:val="24"/>
          <w:szCs w:val="24"/>
        </w:rPr>
        <w:t>l.ru</w:t>
      </w:r>
    </w:p>
    <w:p w:rsidR="005D792D" w:rsidRDefault="005D792D">
      <w:pPr>
        <w:pStyle w:val="normal"/>
        <w:ind w:left="119" w:right="120" w:firstLine="478"/>
        <w:jc w:val="both"/>
      </w:pPr>
    </w:p>
    <w:tbl>
      <w:tblPr>
        <w:tblStyle w:val="a5"/>
        <w:tblW w:w="988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02"/>
        <w:gridCol w:w="7087"/>
      </w:tblGrid>
      <w:tr w:rsidR="005D792D">
        <w:trPr>
          <w:trHeight w:val="100"/>
        </w:trPr>
        <w:tc>
          <w:tcPr>
            <w:tcW w:w="2802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>Баллы (общие критерии)</w:t>
            </w:r>
          </w:p>
        </w:tc>
        <w:tc>
          <w:tcPr>
            <w:tcW w:w="7087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Правильность (ошибочность) решения </w:t>
            </w:r>
          </w:p>
        </w:tc>
      </w:tr>
      <w:tr w:rsidR="005D792D">
        <w:trPr>
          <w:trHeight w:val="100"/>
        </w:trPr>
        <w:tc>
          <w:tcPr>
            <w:tcW w:w="2802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7 </w:t>
            </w:r>
          </w:p>
        </w:tc>
        <w:tc>
          <w:tcPr>
            <w:tcW w:w="7087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Полное верное решение. </w:t>
            </w:r>
          </w:p>
        </w:tc>
      </w:tr>
      <w:tr w:rsidR="005D792D">
        <w:trPr>
          <w:trHeight w:val="300"/>
        </w:trPr>
        <w:tc>
          <w:tcPr>
            <w:tcW w:w="2802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6-7 </w:t>
            </w:r>
          </w:p>
        </w:tc>
        <w:tc>
          <w:tcPr>
            <w:tcW w:w="7087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5D792D">
        <w:trPr>
          <w:trHeight w:val="580"/>
        </w:trPr>
        <w:tc>
          <w:tcPr>
            <w:tcW w:w="2802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5-6 </w:t>
            </w:r>
          </w:p>
        </w:tc>
        <w:tc>
          <w:tcPr>
            <w:tcW w:w="7087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Решение содержит незначительные ошибки, пробелы в обоснованиях, но в целом верно и может стать полностью правильным после небольших исправлений или дополнений. </w:t>
            </w:r>
          </w:p>
        </w:tc>
      </w:tr>
      <w:tr w:rsidR="005D792D">
        <w:trPr>
          <w:trHeight w:val="100"/>
        </w:trPr>
        <w:tc>
          <w:tcPr>
            <w:tcW w:w="2802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7087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Верно рассмотрен один из двух (более сложный) существенных случаев. </w:t>
            </w:r>
          </w:p>
        </w:tc>
      </w:tr>
      <w:tr w:rsidR="005D792D">
        <w:trPr>
          <w:trHeight w:val="100"/>
        </w:trPr>
        <w:tc>
          <w:tcPr>
            <w:tcW w:w="2802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2-3 </w:t>
            </w:r>
          </w:p>
        </w:tc>
        <w:tc>
          <w:tcPr>
            <w:tcW w:w="7087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Доказаны вспомогательные утверждения, помогающие в решении задачи. </w:t>
            </w:r>
          </w:p>
        </w:tc>
      </w:tr>
      <w:tr w:rsidR="005D792D">
        <w:trPr>
          <w:trHeight w:val="100"/>
        </w:trPr>
        <w:tc>
          <w:tcPr>
            <w:tcW w:w="2802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7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Рассмотрены отдельные важные случаи при отсутствии решения (или при ошибочном решении). </w:t>
            </w:r>
          </w:p>
        </w:tc>
      </w:tr>
      <w:tr w:rsidR="005D792D">
        <w:trPr>
          <w:trHeight w:val="100"/>
        </w:trPr>
        <w:tc>
          <w:tcPr>
            <w:tcW w:w="2802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 xml:space="preserve">0 </w:t>
            </w:r>
          </w:p>
        </w:tc>
        <w:tc>
          <w:tcPr>
            <w:tcW w:w="7087" w:type="dxa"/>
          </w:tcPr>
          <w:p w:rsidR="005D792D" w:rsidRDefault="00D75558">
            <w:pPr>
              <w:pStyle w:val="normal"/>
              <w:widowControl/>
              <w:jc w:val="both"/>
            </w:pPr>
            <w:r>
              <w:rPr>
                <w:sz w:val="24"/>
                <w:szCs w:val="24"/>
              </w:rPr>
              <w:t>Решение неверное, продвижения отсутствуют или решение отсутствует.</w:t>
            </w:r>
          </w:p>
        </w:tc>
      </w:tr>
    </w:tbl>
    <w:p w:rsidR="005D792D" w:rsidRDefault="00D75558">
      <w:pPr>
        <w:pStyle w:val="normal"/>
        <w:widowControl/>
        <w:jc w:val="both"/>
      </w:pPr>
      <w:r>
        <w:rPr>
          <w:sz w:val="24"/>
          <w:szCs w:val="24"/>
        </w:rPr>
        <w:t>В решениях, подготовлен</w:t>
      </w:r>
      <w:r>
        <w:rPr>
          <w:sz w:val="24"/>
          <w:szCs w:val="24"/>
        </w:rPr>
        <w:t>ных республиканской предметно-методической комиссией, указаны конкретные критерии оценивания некоторых задач.</w:t>
      </w:r>
    </w:p>
    <w:p w:rsidR="005D792D" w:rsidRDefault="005D792D">
      <w:pPr>
        <w:pStyle w:val="normal"/>
        <w:widowControl/>
        <w:jc w:val="both"/>
      </w:pPr>
    </w:p>
    <w:p w:rsidR="005D792D" w:rsidRDefault="00D75558">
      <w:pPr>
        <w:pStyle w:val="normal"/>
        <w:widowControl/>
        <w:jc w:val="both"/>
      </w:pPr>
      <w:r>
        <w:rPr>
          <w:sz w:val="24"/>
          <w:szCs w:val="24"/>
        </w:rPr>
        <w:t>а) любое правильное решение оценивается в 7 баллов. Недопустимо снятие баллов за то, что решение слишком длинное, или за то, что решение школьник</w:t>
      </w:r>
      <w:r>
        <w:rPr>
          <w:sz w:val="24"/>
          <w:szCs w:val="24"/>
        </w:rPr>
        <w:t xml:space="preserve">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 </w:t>
      </w:r>
    </w:p>
    <w:p w:rsidR="005D792D" w:rsidRDefault="00D75558">
      <w:pPr>
        <w:pStyle w:val="normal"/>
        <w:widowControl/>
        <w:jc w:val="both"/>
      </w:pPr>
      <w:r>
        <w:rPr>
          <w:sz w:val="24"/>
          <w:szCs w:val="24"/>
        </w:rPr>
        <w:t xml:space="preserve">б) олимпиадная работа не является контрольной </w:t>
      </w:r>
      <w:r>
        <w:rPr>
          <w:sz w:val="24"/>
          <w:szCs w:val="24"/>
        </w:rPr>
        <w:t xml:space="preserve">работой участника, поэтому любые исправления в работе, в том числе зачеркивание ранее написанного текста, не являются основанием для снятия баллов; недопустимо снятие баллов в работе за неаккуратность записи решений при ее выполнении; </w:t>
      </w:r>
    </w:p>
    <w:p w:rsidR="005D792D" w:rsidRDefault="00D75558">
      <w:pPr>
        <w:pStyle w:val="normal"/>
        <w:widowControl/>
        <w:jc w:val="both"/>
      </w:pPr>
      <w:r>
        <w:rPr>
          <w:sz w:val="24"/>
          <w:szCs w:val="24"/>
        </w:rPr>
        <w:t>в) баллы не выставля</w:t>
      </w:r>
      <w:r>
        <w:rPr>
          <w:sz w:val="24"/>
          <w:szCs w:val="24"/>
        </w:rPr>
        <w:t xml:space="preserve">ются «за старание Участника», в том числе за запись в работе большого по объему текста, но не содержащего продвижений в решении задачи; </w:t>
      </w:r>
    </w:p>
    <w:p w:rsidR="005D792D" w:rsidRDefault="00D75558">
      <w:pPr>
        <w:pStyle w:val="normal"/>
        <w:spacing w:before="1"/>
        <w:ind w:right="119"/>
        <w:jc w:val="both"/>
      </w:pPr>
      <w:r>
        <w:rPr>
          <w:sz w:val="24"/>
          <w:szCs w:val="24"/>
        </w:rPr>
        <w:t>г) победителями олимпиады в одной параллели могут стать несколько участников, набравшие наибольшее количество баллов, п</w:t>
      </w:r>
      <w:r>
        <w:rPr>
          <w:sz w:val="24"/>
          <w:szCs w:val="24"/>
        </w:rPr>
        <w:t>оэтому не следует в обязательном порядке «разводить по местам» лучших участников олимпиады.</w:t>
      </w:r>
    </w:p>
    <w:p w:rsidR="005D792D" w:rsidRDefault="00D75558">
      <w:pPr>
        <w:pStyle w:val="normal"/>
        <w:spacing w:before="1"/>
        <w:ind w:right="119"/>
        <w:jc w:val="both"/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Задания математических олимпиад являются творческими, допускают несколько различных вариантов  решений.  Кроме  того,  необходимо  оценивать  частичные  продвиже</w:t>
      </w:r>
      <w:r>
        <w:rPr>
          <w:sz w:val="24"/>
          <w:szCs w:val="24"/>
        </w:rPr>
        <w:t>ния в задачах (например, разбор важного случая, доказательство вспомогательного утверждения, нахождение примера и т.п.). Наконец, возможны логические и арифметические ошибки в решениях. Окончательные баллы по задаче должны учитывать всё вышеперечисленное.</w:t>
      </w:r>
    </w:p>
    <w:p w:rsidR="005D792D" w:rsidRDefault="00D75558">
      <w:pPr>
        <w:pStyle w:val="normal"/>
        <w:spacing w:before="1"/>
        <w:ind w:right="119"/>
        <w:jc w:val="both"/>
      </w:pPr>
      <w:r>
        <w:rPr>
          <w:sz w:val="24"/>
          <w:szCs w:val="24"/>
        </w:rPr>
        <w:t>е) Обязательным является проведение двух независимых проверок каждого решения.</w:t>
      </w:r>
    </w:p>
    <w:p w:rsidR="005D792D" w:rsidRDefault="00D75558">
      <w:pPr>
        <w:pStyle w:val="normal"/>
        <w:spacing w:before="1"/>
        <w:ind w:right="119"/>
        <w:jc w:val="both"/>
      </w:pPr>
      <w:r>
        <w:rPr>
          <w:sz w:val="24"/>
          <w:szCs w:val="24"/>
        </w:rPr>
        <w:t>ж) Для повышения качества проверки возможна организация централизованной перепроверки региональным жюри.</w:t>
      </w:r>
    </w:p>
    <w:p w:rsidR="005D792D" w:rsidRDefault="005D792D">
      <w:pPr>
        <w:pStyle w:val="normal"/>
        <w:spacing w:before="1"/>
        <w:ind w:left="119" w:right="119" w:firstLine="478"/>
        <w:jc w:val="both"/>
      </w:pPr>
    </w:p>
    <w:sectPr w:rsidR="005D792D" w:rsidSect="005D792D">
      <w:pgSz w:w="12240" w:h="15840"/>
      <w:pgMar w:top="820" w:right="840" w:bottom="280" w:left="15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20"/>
  <w:characterSpacingControl w:val="doNotCompress"/>
  <w:compat/>
  <w:rsids>
    <w:rsidRoot w:val="005D792D"/>
    <w:rsid w:val="005D792D"/>
    <w:rsid w:val="00D75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5D792D"/>
    <w:pPr>
      <w:keepNext/>
      <w:keepLines/>
      <w:spacing w:before="17"/>
      <w:ind w:left="167"/>
      <w:outlineLvl w:val="0"/>
    </w:pPr>
    <w:rPr>
      <w:b/>
      <w:sz w:val="41"/>
      <w:szCs w:val="41"/>
    </w:rPr>
  </w:style>
  <w:style w:type="paragraph" w:styleId="2">
    <w:name w:val="heading 2"/>
    <w:basedOn w:val="normal"/>
    <w:next w:val="normal"/>
    <w:rsid w:val="005D792D"/>
    <w:pPr>
      <w:keepNext/>
      <w:keepLines/>
      <w:ind w:left="4643" w:hanging="310"/>
      <w:outlineLvl w:val="1"/>
    </w:pPr>
    <w:rPr>
      <w:b/>
      <w:sz w:val="34"/>
      <w:szCs w:val="34"/>
    </w:rPr>
  </w:style>
  <w:style w:type="paragraph" w:styleId="3">
    <w:name w:val="heading 3"/>
    <w:basedOn w:val="normal"/>
    <w:next w:val="normal"/>
    <w:rsid w:val="005D792D"/>
    <w:pPr>
      <w:keepNext/>
      <w:keepLines/>
      <w:spacing w:before="27"/>
      <w:ind w:left="119"/>
      <w:outlineLvl w:val="2"/>
    </w:pPr>
    <w:rPr>
      <w:b/>
      <w:sz w:val="24"/>
      <w:szCs w:val="24"/>
    </w:rPr>
  </w:style>
  <w:style w:type="paragraph" w:styleId="4">
    <w:name w:val="heading 4"/>
    <w:basedOn w:val="normal"/>
    <w:next w:val="normal"/>
    <w:rsid w:val="005D792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5D792D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normal"/>
    <w:next w:val="normal"/>
    <w:rsid w:val="005D792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D792D"/>
  </w:style>
  <w:style w:type="table" w:customStyle="1" w:styleId="TableNormal">
    <w:name w:val="Table Normal"/>
    <w:rsid w:val="005D79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5D792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normal"/>
    <w:next w:val="normal"/>
    <w:rsid w:val="005D792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D792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2</cp:revision>
  <dcterms:created xsi:type="dcterms:W3CDTF">2016-11-10T07:34:00Z</dcterms:created>
  <dcterms:modified xsi:type="dcterms:W3CDTF">2016-11-10T07:34:00Z</dcterms:modified>
</cp:coreProperties>
</file>